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6E7BCD" w:rsidRDefault="002453CF" w:rsidP="00832AD7">
      <w:pPr>
        <w:spacing w:after="0" w:line="240" w:lineRule="auto"/>
        <w:rPr>
          <w:rFonts w:ascii="FrankRuehl" w:hAnsi="FrankRuehl" w:cs="FrankRuehl"/>
          <w:b/>
          <w:bCs/>
          <w:sz w:val="16"/>
          <w:szCs w:val="16"/>
          <w:rtl/>
        </w:rPr>
      </w:pPr>
      <w:bookmarkStart w:id="0" w:name="_GoBack"/>
      <w:bookmarkEnd w:id="0"/>
      <w:r w:rsidRPr="006E7BCD">
        <w:rPr>
          <w:rFonts w:ascii="FrankRuehl" w:hAnsi="FrankRuehl" w:cs="FrankRuehl"/>
          <w:b/>
          <w:bCs/>
          <w:sz w:val="24"/>
          <w:szCs w:val="24"/>
          <w:rtl/>
        </w:rPr>
        <w:t xml:space="preserve">                                 </w:t>
      </w:r>
      <w:r w:rsidR="006B7B96" w:rsidRPr="006E7BCD">
        <w:rPr>
          <w:rFonts w:ascii="FrankRuehl" w:hAnsi="FrankRuehl" w:cs="FrankRuehl"/>
          <w:b/>
          <w:bCs/>
          <w:sz w:val="24"/>
          <w:szCs w:val="24"/>
          <w:rtl/>
        </w:rPr>
        <w:t xml:space="preserve">           </w:t>
      </w:r>
      <w:r w:rsidR="00631744" w:rsidRPr="006E7BCD">
        <w:rPr>
          <w:rFonts w:ascii="FrankRuehl" w:hAnsi="FrankRuehl" w:cs="FrankRuehl"/>
          <w:b/>
          <w:bCs/>
          <w:sz w:val="24"/>
          <w:szCs w:val="24"/>
          <w:rtl/>
        </w:rPr>
        <w:t xml:space="preserve">           </w:t>
      </w:r>
      <w:r w:rsidR="006C3B1F" w:rsidRPr="006E7BCD">
        <w:rPr>
          <w:rFonts w:ascii="FrankRuehl" w:hAnsi="FrankRuehl" w:cs="FrankRuehl"/>
          <w:b/>
          <w:bCs/>
          <w:sz w:val="24"/>
          <w:szCs w:val="24"/>
          <w:rtl/>
        </w:rPr>
        <w:t xml:space="preserve">   </w:t>
      </w:r>
      <w:r w:rsidRPr="006E7BCD">
        <w:rPr>
          <w:rFonts w:ascii="FrankRuehl" w:hAnsi="FrankRuehl" w:cs="FrankRuehl"/>
          <w:b/>
          <w:bCs/>
          <w:sz w:val="24"/>
          <w:szCs w:val="24"/>
          <w:rtl/>
        </w:rPr>
        <w:t xml:space="preserve">  </w:t>
      </w:r>
      <w:r w:rsidR="001D42A7" w:rsidRPr="006E7BCD">
        <w:rPr>
          <w:rFonts w:ascii="FrankRuehl" w:hAnsi="FrankRuehl" w:cs="FrankRuehl"/>
          <w:b/>
          <w:bCs/>
          <w:rtl/>
        </w:rPr>
        <w:t xml:space="preserve">  </w:t>
      </w:r>
    </w:p>
    <w:p w:rsidR="00983123" w:rsidRPr="006E7BCD" w:rsidRDefault="00983123" w:rsidP="00832AD7">
      <w:pPr>
        <w:spacing w:after="0" w:line="240" w:lineRule="auto"/>
        <w:jc w:val="right"/>
        <w:rPr>
          <w:rFonts w:ascii="FrankRuehl" w:eastAsia="Times New Roman" w:hAnsi="FrankRuehl" w:cs="FrankRuehl"/>
          <w:sz w:val="16"/>
          <w:szCs w:val="16"/>
        </w:rPr>
      </w:pPr>
      <w:r w:rsidRPr="006E7BCD">
        <w:rPr>
          <w:rFonts w:ascii="FrankRuehl" w:eastAsia="Times New Roman" w:hAnsi="FrankRuehl" w:cs="FrankRuehl"/>
          <w:sz w:val="16"/>
          <w:szCs w:val="16"/>
          <w:rtl/>
        </w:rPr>
        <w:fldChar w:fldCharType="begin"/>
      </w:r>
      <w:r w:rsidRPr="006E7BCD">
        <w:rPr>
          <w:rFonts w:ascii="FrankRuehl" w:eastAsia="Times New Roman" w:hAnsi="FrankRuehl" w:cs="FrankRuehl"/>
          <w:sz w:val="16"/>
          <w:szCs w:val="16"/>
          <w:rtl/>
        </w:rPr>
        <w:instrText xml:space="preserve"> </w:instrText>
      </w:r>
      <w:r w:rsidRPr="006E7BCD">
        <w:rPr>
          <w:rFonts w:ascii="FrankRuehl" w:eastAsia="Times New Roman" w:hAnsi="FrankRuehl" w:cs="FrankRuehl"/>
          <w:sz w:val="16"/>
          <w:szCs w:val="16"/>
        </w:rPr>
        <w:instrText>DOCPROPERTY  DocDateEng  \* MERGEFORMAT</w:instrText>
      </w:r>
      <w:r w:rsidRPr="006E7BCD">
        <w:rPr>
          <w:rFonts w:ascii="FrankRuehl" w:eastAsia="Times New Roman" w:hAnsi="FrankRuehl" w:cs="FrankRuehl"/>
          <w:sz w:val="16"/>
          <w:szCs w:val="16"/>
          <w:rtl/>
        </w:rPr>
        <w:instrText xml:space="preserve"> </w:instrText>
      </w:r>
      <w:r w:rsidRPr="006E7BCD">
        <w:rPr>
          <w:rFonts w:ascii="FrankRuehl" w:eastAsia="Times New Roman" w:hAnsi="FrankRuehl" w:cs="FrankRuehl"/>
          <w:sz w:val="16"/>
          <w:szCs w:val="16"/>
          <w:rtl/>
        </w:rPr>
        <w:fldChar w:fldCharType="separate"/>
      </w:r>
      <w:r w:rsidRPr="006E7BCD">
        <w:rPr>
          <w:rFonts w:ascii="FrankRuehl" w:eastAsia="Times New Roman" w:hAnsi="FrankRuehl" w:cs="FrankRuehl"/>
          <w:sz w:val="16"/>
          <w:szCs w:val="16"/>
          <w:rtl/>
        </w:rPr>
        <w:t>25 בפברואר 2025</w:t>
      </w:r>
      <w:r w:rsidRPr="006E7BCD">
        <w:rPr>
          <w:rFonts w:ascii="FrankRuehl" w:eastAsia="Times New Roman" w:hAnsi="FrankRuehl" w:cs="FrankRuehl"/>
          <w:sz w:val="16"/>
          <w:szCs w:val="16"/>
          <w:rtl/>
        </w:rPr>
        <w:fldChar w:fldCharType="end"/>
      </w:r>
    </w:p>
    <w:p w:rsidR="00983123" w:rsidRPr="006E7BCD" w:rsidRDefault="00983123" w:rsidP="00832AD7">
      <w:pPr>
        <w:spacing w:after="0" w:line="240" w:lineRule="auto"/>
        <w:jc w:val="right"/>
        <w:rPr>
          <w:rFonts w:ascii="FrankRuehl" w:eastAsia="Times New Roman" w:hAnsi="FrankRuehl" w:cs="FrankRuehl"/>
          <w:sz w:val="16"/>
          <w:szCs w:val="16"/>
          <w:rtl/>
        </w:rPr>
      </w:pPr>
      <w:r w:rsidRPr="006E7BCD">
        <w:rPr>
          <w:rFonts w:ascii="FrankRuehl" w:eastAsia="Times New Roman" w:hAnsi="FrankRuehl" w:cs="FrankRuehl"/>
          <w:sz w:val="16"/>
          <w:szCs w:val="16"/>
          <w:rtl/>
        </w:rPr>
        <w:t xml:space="preserve">                                                                                                   </w:t>
      </w:r>
      <w:r w:rsidRPr="006E7BCD">
        <w:rPr>
          <w:rFonts w:ascii="FrankRuehl" w:eastAsia="Times New Roman" w:hAnsi="FrankRuehl" w:cs="FrankRuehl"/>
          <w:sz w:val="16"/>
          <w:szCs w:val="16"/>
          <w:rtl/>
        </w:rPr>
        <w:fldChar w:fldCharType="begin"/>
      </w:r>
      <w:r w:rsidRPr="006E7BCD">
        <w:rPr>
          <w:rFonts w:ascii="FrankRuehl" w:eastAsia="Times New Roman" w:hAnsi="FrankRuehl" w:cs="FrankRuehl"/>
          <w:sz w:val="16"/>
          <w:szCs w:val="16"/>
          <w:rtl/>
        </w:rPr>
        <w:instrText xml:space="preserve"> </w:instrText>
      </w:r>
      <w:r w:rsidRPr="006E7BCD">
        <w:rPr>
          <w:rFonts w:ascii="FrankRuehl" w:eastAsia="Times New Roman" w:hAnsi="FrankRuehl" w:cs="FrankRuehl"/>
          <w:sz w:val="16"/>
          <w:szCs w:val="16"/>
        </w:rPr>
        <w:instrText>DOCPROPERTY  DocDateHeb  \* MERGEFORMAT</w:instrText>
      </w:r>
      <w:r w:rsidRPr="006E7BCD">
        <w:rPr>
          <w:rFonts w:ascii="FrankRuehl" w:eastAsia="Times New Roman" w:hAnsi="FrankRuehl" w:cs="FrankRuehl"/>
          <w:sz w:val="16"/>
          <w:szCs w:val="16"/>
          <w:rtl/>
        </w:rPr>
        <w:instrText xml:space="preserve"> </w:instrText>
      </w:r>
      <w:r w:rsidRPr="006E7BCD">
        <w:rPr>
          <w:rFonts w:ascii="FrankRuehl" w:eastAsia="Times New Roman" w:hAnsi="FrankRuehl" w:cs="FrankRuehl"/>
          <w:sz w:val="16"/>
          <w:szCs w:val="16"/>
          <w:rtl/>
        </w:rPr>
        <w:fldChar w:fldCharType="separate"/>
      </w:r>
      <w:r w:rsidRPr="006E7BCD">
        <w:rPr>
          <w:rFonts w:ascii="FrankRuehl" w:eastAsia="Times New Roman" w:hAnsi="FrankRuehl" w:cs="FrankRuehl"/>
          <w:sz w:val="16"/>
          <w:szCs w:val="16"/>
          <w:rtl/>
        </w:rPr>
        <w:t>כ"ז בשבט תשפ"ה</w:t>
      </w:r>
      <w:r w:rsidRPr="006E7BCD">
        <w:rPr>
          <w:rFonts w:ascii="FrankRuehl" w:eastAsia="Times New Roman" w:hAnsi="FrankRuehl" w:cs="FrankRuehl"/>
          <w:sz w:val="16"/>
          <w:szCs w:val="16"/>
          <w:rtl/>
        </w:rPr>
        <w:fldChar w:fldCharType="end"/>
      </w:r>
    </w:p>
    <w:p w:rsidR="00983123" w:rsidRPr="006E7BCD" w:rsidRDefault="00983123" w:rsidP="00832AD7">
      <w:pPr>
        <w:spacing w:after="0" w:line="240" w:lineRule="auto"/>
        <w:jc w:val="right"/>
        <w:rPr>
          <w:rFonts w:ascii="FrankRuehl" w:eastAsia="Times New Roman" w:hAnsi="FrankRuehl" w:cs="FrankRuehl"/>
          <w:sz w:val="24"/>
          <w:szCs w:val="24"/>
          <w:rtl/>
        </w:rPr>
      </w:pPr>
      <w:r w:rsidRPr="006E7BCD">
        <w:rPr>
          <w:rFonts w:ascii="FrankRuehl" w:eastAsia="Times New Roman" w:hAnsi="FrankRuehl" w:cs="FrankRuehl"/>
          <w:sz w:val="16"/>
          <w:szCs w:val="16"/>
          <w:rtl/>
        </w:rPr>
        <w:fldChar w:fldCharType="begin"/>
      </w:r>
      <w:r w:rsidRPr="006E7BCD">
        <w:rPr>
          <w:rFonts w:ascii="FrankRuehl" w:eastAsia="Times New Roman" w:hAnsi="FrankRuehl" w:cs="FrankRuehl"/>
          <w:sz w:val="16"/>
          <w:szCs w:val="16"/>
          <w:rtl/>
        </w:rPr>
        <w:instrText xml:space="preserve"> </w:instrText>
      </w:r>
      <w:r w:rsidRPr="006E7BCD">
        <w:rPr>
          <w:rFonts w:ascii="FrankRuehl" w:eastAsia="Times New Roman" w:hAnsi="FrankRuehl" w:cs="FrankRuehl"/>
          <w:sz w:val="16"/>
          <w:szCs w:val="16"/>
        </w:rPr>
        <w:instrText>DOCPROPERTY  DocNumber  \* MERGEFORMAT</w:instrText>
      </w:r>
      <w:r w:rsidRPr="006E7BCD">
        <w:rPr>
          <w:rFonts w:ascii="FrankRuehl" w:eastAsia="Times New Roman" w:hAnsi="FrankRuehl" w:cs="FrankRuehl"/>
          <w:sz w:val="16"/>
          <w:szCs w:val="16"/>
          <w:rtl/>
        </w:rPr>
        <w:instrText xml:space="preserve"> </w:instrText>
      </w:r>
      <w:r w:rsidRPr="006E7BCD">
        <w:rPr>
          <w:rFonts w:ascii="FrankRuehl" w:eastAsia="Times New Roman" w:hAnsi="FrankRuehl" w:cs="FrankRuehl"/>
          <w:sz w:val="16"/>
          <w:szCs w:val="16"/>
          <w:rtl/>
        </w:rPr>
        <w:fldChar w:fldCharType="separate"/>
      </w:r>
      <w:r w:rsidRPr="006E7BCD">
        <w:rPr>
          <w:rFonts w:ascii="FrankRuehl" w:eastAsia="Times New Roman" w:hAnsi="FrankRuehl" w:cs="FrankRuehl"/>
          <w:sz w:val="16"/>
          <w:szCs w:val="16"/>
          <w:rtl/>
        </w:rPr>
        <w:t>4700-1039-2025-001974</w:t>
      </w:r>
      <w:r w:rsidRPr="006E7BCD">
        <w:rPr>
          <w:rFonts w:ascii="FrankRuehl" w:eastAsia="Times New Roman" w:hAnsi="FrankRuehl" w:cs="FrankRuehl"/>
          <w:sz w:val="16"/>
          <w:szCs w:val="16"/>
          <w:rtl/>
        </w:rPr>
        <w:fldChar w:fldCharType="end"/>
      </w:r>
    </w:p>
    <w:p w:rsidR="00515986" w:rsidRPr="006E7BCD" w:rsidRDefault="00515986" w:rsidP="000C4D75">
      <w:pPr>
        <w:tabs>
          <w:tab w:val="num" w:pos="1080"/>
        </w:tabs>
        <w:spacing w:after="0" w:line="276" w:lineRule="auto"/>
        <w:jc w:val="both"/>
        <w:rPr>
          <w:rFonts w:ascii="FrankRuehl" w:eastAsia="Times New Roman" w:hAnsi="FrankRuehl" w:cs="FrankRuehl"/>
          <w:b/>
          <w:bCs/>
          <w:sz w:val="24"/>
          <w:szCs w:val="24"/>
          <w:rtl/>
        </w:rPr>
      </w:pPr>
    </w:p>
    <w:p w:rsidR="00915BFC" w:rsidRPr="006E7BCD" w:rsidRDefault="00E13F6E" w:rsidP="00915BFC">
      <w:pPr>
        <w:spacing w:after="120" w:line="360" w:lineRule="auto"/>
        <w:jc w:val="center"/>
        <w:rPr>
          <w:rFonts w:ascii="FrankRuehl" w:hAnsi="FrankRuehl" w:cs="FrankRuehl"/>
          <w:b/>
          <w:bCs/>
          <w:color w:val="002060"/>
          <w:sz w:val="28"/>
          <w:szCs w:val="28"/>
          <w:u w:val="single"/>
          <w:rtl/>
        </w:rPr>
      </w:pPr>
      <w:r w:rsidRPr="006E7BCD">
        <w:rPr>
          <w:rFonts w:ascii="FrankRuehl" w:hAnsi="FrankRuehl" w:cs="FrankRuehl"/>
          <w:b/>
          <w:bCs/>
          <w:color w:val="002060"/>
          <w:sz w:val="28"/>
          <w:szCs w:val="28"/>
          <w:u w:val="single"/>
          <w:rtl/>
        </w:rPr>
        <w:t>תקציר פסק</w:t>
      </w:r>
      <w:r w:rsidR="00915BFC" w:rsidRPr="006E7BCD">
        <w:rPr>
          <w:rFonts w:ascii="FrankRuehl" w:hAnsi="FrankRuehl" w:cs="FrankRuehl"/>
          <w:b/>
          <w:bCs/>
          <w:color w:val="002060"/>
          <w:sz w:val="28"/>
          <w:szCs w:val="28"/>
          <w:u w:val="single"/>
          <w:rtl/>
        </w:rPr>
        <w:t xml:space="preserve"> ה</w:t>
      </w:r>
      <w:r w:rsidRPr="006E7BCD">
        <w:rPr>
          <w:rFonts w:ascii="FrankRuehl" w:hAnsi="FrankRuehl" w:cs="FrankRuehl"/>
          <w:b/>
          <w:bCs/>
          <w:color w:val="002060"/>
          <w:sz w:val="28"/>
          <w:szCs w:val="28"/>
          <w:u w:val="single"/>
          <w:rtl/>
        </w:rPr>
        <w:t>דין</w:t>
      </w:r>
      <w:r w:rsidR="00915BFC" w:rsidRPr="006E7BCD">
        <w:rPr>
          <w:rFonts w:ascii="FrankRuehl" w:hAnsi="FrankRuehl" w:cs="FrankRuehl"/>
          <w:b/>
          <w:bCs/>
          <w:color w:val="002060"/>
          <w:sz w:val="28"/>
          <w:szCs w:val="28"/>
          <w:u w:val="single"/>
          <w:rtl/>
        </w:rPr>
        <w:t xml:space="preserve"> </w:t>
      </w:r>
    </w:p>
    <w:p w:rsidR="00915BFC" w:rsidRPr="006E7BCD" w:rsidRDefault="00915BFC" w:rsidP="00915BFC">
      <w:pPr>
        <w:spacing w:after="120" w:line="360" w:lineRule="auto"/>
        <w:jc w:val="center"/>
        <w:rPr>
          <w:rFonts w:ascii="FrankRuehl" w:hAnsi="FrankRuehl" w:cs="FrankRuehl"/>
          <w:b/>
          <w:bCs/>
          <w:color w:val="002060"/>
          <w:sz w:val="28"/>
          <w:szCs w:val="28"/>
          <w:u w:val="single"/>
          <w:rtl/>
        </w:rPr>
      </w:pPr>
      <w:r w:rsidRPr="006E7BCD">
        <w:rPr>
          <w:rFonts w:ascii="FrankRuehl" w:hAnsi="FrankRuehl" w:cs="FrankRuehl"/>
          <w:b/>
          <w:bCs/>
          <w:color w:val="002060"/>
          <w:sz w:val="28"/>
          <w:szCs w:val="28"/>
          <w:u w:val="single"/>
          <w:rtl/>
        </w:rPr>
        <w:t xml:space="preserve">עמ"נ 41621-09-19: א.א וילדיה מ' וש' נגד רשות האוכלוסין וההגירה, משרד הפנים </w:t>
      </w:r>
    </w:p>
    <w:p w:rsidR="00E13F6E" w:rsidRPr="006E7BCD" w:rsidRDefault="00E13F6E" w:rsidP="00915BFC">
      <w:pPr>
        <w:spacing w:after="120"/>
        <w:jc w:val="center"/>
        <w:rPr>
          <w:rFonts w:ascii="FrankRuehl" w:hAnsi="FrankRuehl" w:cs="FrankRuehl"/>
          <w:b/>
          <w:bCs/>
          <w:color w:val="002060"/>
          <w:sz w:val="28"/>
          <w:szCs w:val="28"/>
          <w:u w:val="single"/>
          <w:rtl/>
        </w:rPr>
      </w:pPr>
      <w:r w:rsidRPr="006E7BCD">
        <w:rPr>
          <w:rFonts w:ascii="FrankRuehl" w:hAnsi="FrankRuehl" w:cs="FrankRuehl"/>
          <w:b/>
          <w:bCs/>
          <w:color w:val="002060"/>
          <w:sz w:val="28"/>
          <w:szCs w:val="28"/>
          <w:u w:val="single"/>
          <w:rtl/>
        </w:rPr>
        <w:t>כבוד השופטת</w:t>
      </w:r>
      <w:r w:rsidR="00701767" w:rsidRPr="006E7BCD">
        <w:rPr>
          <w:rFonts w:ascii="FrankRuehl" w:hAnsi="FrankRuehl" w:cs="FrankRuehl"/>
          <w:b/>
          <w:bCs/>
          <w:color w:val="002060"/>
          <w:sz w:val="28"/>
          <w:szCs w:val="28"/>
          <w:u w:val="single"/>
          <w:rtl/>
        </w:rPr>
        <w:t xml:space="preserve"> ד"ר</w:t>
      </w:r>
      <w:r w:rsidRPr="006E7BCD">
        <w:rPr>
          <w:rFonts w:ascii="FrankRuehl" w:hAnsi="FrankRuehl" w:cs="FrankRuehl"/>
          <w:b/>
          <w:bCs/>
          <w:color w:val="002060"/>
          <w:sz w:val="28"/>
          <w:szCs w:val="28"/>
          <w:u w:val="single"/>
          <w:rtl/>
        </w:rPr>
        <w:t xml:space="preserve"> </w:t>
      </w:r>
      <w:r w:rsidR="00915BFC" w:rsidRPr="006E7BCD">
        <w:rPr>
          <w:rFonts w:ascii="FrankRuehl" w:hAnsi="FrankRuehl" w:cs="FrankRuehl"/>
          <w:b/>
          <w:bCs/>
          <w:color w:val="002060"/>
          <w:sz w:val="28"/>
          <w:szCs w:val="28"/>
          <w:u w:val="single"/>
          <w:rtl/>
        </w:rPr>
        <w:t>מיכל אגמון גונן</w:t>
      </w:r>
    </w:p>
    <w:p w:rsidR="006E7BCD" w:rsidRDefault="006E7BCD" w:rsidP="006E7BCD">
      <w:pPr>
        <w:spacing w:line="360" w:lineRule="auto"/>
        <w:jc w:val="both"/>
        <w:rPr>
          <w:rFonts w:ascii="FrankRuehl" w:hAnsi="FrankRuehl" w:cs="FrankRuehl"/>
          <w:sz w:val="24"/>
          <w:szCs w:val="24"/>
          <w:rtl/>
        </w:rPr>
      </w:pPr>
    </w:p>
    <w:p w:rsidR="006E7BCD" w:rsidRPr="006E7BCD" w:rsidRDefault="006E7BCD" w:rsidP="006E7BCD">
      <w:pPr>
        <w:spacing w:line="360" w:lineRule="auto"/>
        <w:jc w:val="both"/>
        <w:rPr>
          <w:rFonts w:ascii="FrankRuehl" w:hAnsi="FrankRuehl" w:cs="FrankRuehl"/>
          <w:sz w:val="24"/>
          <w:szCs w:val="24"/>
          <w:rtl/>
        </w:rPr>
      </w:pPr>
      <w:r w:rsidRPr="006E7BCD">
        <w:rPr>
          <w:rFonts w:ascii="FrankRuehl" w:hAnsi="FrankRuehl" w:cs="FrankRuehl"/>
          <w:sz w:val="24"/>
          <w:szCs w:val="24"/>
          <w:rtl/>
        </w:rPr>
        <w:t>בערעור נדו</w:t>
      </w:r>
      <w:r>
        <w:rPr>
          <w:rFonts w:ascii="FrankRuehl" w:hAnsi="FrankRuehl" w:cs="FrankRuehl" w:hint="cs"/>
          <w:sz w:val="24"/>
          <w:szCs w:val="24"/>
          <w:rtl/>
        </w:rPr>
        <w:t>ן</w:t>
      </w:r>
      <w:r w:rsidRPr="006E7BCD">
        <w:rPr>
          <w:rFonts w:ascii="FrankRuehl" w:hAnsi="FrankRuehl" w:cs="FrankRuehl"/>
          <w:sz w:val="24"/>
          <w:szCs w:val="24"/>
          <w:rtl/>
        </w:rPr>
        <w:t xml:space="preserve"> עניינה של משפחה, אם ושני ילדים, שנעצרו בקיץ 2019 יחד עם משפחות רבות נוספות של עובדים זרים, שנותרו בישראל באופן לא חוקי, ולאחר שנים שילדיהם לומדים במערכת החינוך. בשעתו התעוררה סערה ציבורית. המשפחה נשוא ערעור זה שוחררה ממעצר לאחר כשלושה שבועות ומאז התנהלו הליכים בעניינה. </w:t>
      </w:r>
    </w:p>
    <w:p w:rsidR="006E7BCD" w:rsidRPr="006E7BCD" w:rsidRDefault="006E7BCD" w:rsidP="006E7BCD">
      <w:pPr>
        <w:spacing w:line="360" w:lineRule="auto"/>
        <w:jc w:val="both"/>
        <w:rPr>
          <w:rFonts w:ascii="FrankRuehl" w:hAnsi="FrankRuehl" w:cs="FrankRuehl"/>
          <w:sz w:val="24"/>
          <w:szCs w:val="24"/>
          <w:rtl/>
        </w:rPr>
      </w:pPr>
      <w:r w:rsidRPr="006E7BCD">
        <w:rPr>
          <w:rFonts w:ascii="FrankRuehl" w:hAnsi="FrankRuehl" w:cs="FrankRuehl"/>
          <w:sz w:val="24"/>
          <w:szCs w:val="24"/>
          <w:rtl/>
        </w:rPr>
        <w:t>היום קבע בית המשפט המחוזי בת"א (כב' השופטת ד"ר מיכל אגמון גונן) כי על משרד הפנים להעניק למערערים תושבות זמנית עד הגיע הילדה הקטנה (כיום בת 9) לבגרות.</w:t>
      </w:r>
    </w:p>
    <w:p w:rsidR="006E7BCD" w:rsidRPr="006E7BCD" w:rsidRDefault="006E7BCD" w:rsidP="006E7BCD">
      <w:pPr>
        <w:spacing w:line="360" w:lineRule="auto"/>
        <w:jc w:val="both"/>
        <w:rPr>
          <w:rFonts w:ascii="FrankRuehl" w:hAnsi="FrankRuehl" w:cs="FrankRuehl"/>
          <w:sz w:val="24"/>
          <w:szCs w:val="24"/>
          <w:rtl/>
        </w:rPr>
      </w:pPr>
      <w:r w:rsidRPr="006E7BCD">
        <w:rPr>
          <w:rFonts w:ascii="FrankRuehl" w:hAnsi="FrankRuehl" w:cs="FrankRuehl"/>
          <w:sz w:val="24"/>
          <w:szCs w:val="24"/>
          <w:rtl/>
        </w:rPr>
        <w:lastRenderedPageBreak/>
        <w:t>בית המשפט פתח את פסק הדין ממשפט הלקוח מחוות דעת פסיכולוגית שניתנה בעניינה של הילדה, לאחר מעצרה, כשהייתה בת כארבע וחצי, בו היא משחקת ומתארת כך את מצבה: ""</w:t>
      </w:r>
      <w:r w:rsidRPr="006E7BCD">
        <w:rPr>
          <w:rFonts w:ascii="FrankRuehl" w:hAnsi="FrankRuehl" w:cs="FrankRuehl"/>
          <w:b/>
          <w:bCs/>
          <w:sz w:val="24"/>
          <w:szCs w:val="24"/>
          <w:rtl/>
        </w:rPr>
        <w:t>הנמר מגרש את כל החיות... האריה טורף את כולם... הם מתו... הלכו לחפש להם בית</w:t>
      </w:r>
      <w:r w:rsidRPr="006E7BCD">
        <w:rPr>
          <w:rFonts w:ascii="FrankRuehl" w:hAnsi="FrankRuehl" w:cs="FrankRuehl"/>
          <w:sz w:val="24"/>
          <w:szCs w:val="24"/>
          <w:rtl/>
        </w:rPr>
        <w:t>"...</w:t>
      </w:r>
    </w:p>
    <w:p w:rsidR="006E7BCD" w:rsidRPr="006E7BCD" w:rsidRDefault="006E7BCD" w:rsidP="006E7BCD">
      <w:pPr>
        <w:spacing w:line="360" w:lineRule="auto"/>
        <w:jc w:val="both"/>
        <w:rPr>
          <w:rFonts w:ascii="FrankRuehl" w:hAnsi="FrankRuehl" w:cs="FrankRuehl"/>
          <w:sz w:val="24"/>
          <w:szCs w:val="24"/>
          <w:rtl/>
        </w:rPr>
      </w:pPr>
      <w:r w:rsidRPr="006E7BCD">
        <w:rPr>
          <w:rFonts w:ascii="FrankRuehl" w:hAnsi="FrankRuehl" w:cs="FrankRuehl"/>
          <w:sz w:val="24"/>
          <w:szCs w:val="24"/>
          <w:rtl/>
        </w:rPr>
        <w:t xml:space="preserve">השופטת אגמון גונן סוקרת בהרחבה את חוות הדעת המקצועיות שהגישו המערערים, שניתנו בידי פסיכולוגים בעניין הילדים לאורך השנים, לרבות אבחון של ועדת השמה של משרד החינוך בעניינה של הילדה, מהן עולה כי טובתם היא לקבל מעמד בישראל היום, כך שעננת הגירוש התלויה מעל ראשיהם שנים – תוסר לאלתר. עוד עומדת השופטת אגמון גונן על משמעות חלוף הזמן בעניינם של ילדים, וקובעת כי השתהות הרשות, תוך הפרת חובותיה במשפט המנהלי, פגעו בטובת הילדים. </w:t>
      </w:r>
    </w:p>
    <w:p w:rsidR="006E7BCD" w:rsidRPr="006E7BCD" w:rsidRDefault="006E7BCD" w:rsidP="006E7BCD">
      <w:pPr>
        <w:spacing w:line="360" w:lineRule="auto"/>
        <w:jc w:val="both"/>
        <w:rPr>
          <w:rFonts w:ascii="FrankRuehl" w:hAnsi="FrankRuehl" w:cs="FrankRuehl"/>
          <w:sz w:val="24"/>
          <w:szCs w:val="24"/>
          <w:rtl/>
        </w:rPr>
      </w:pPr>
      <w:r w:rsidRPr="006E7BCD">
        <w:rPr>
          <w:rFonts w:ascii="FrankRuehl" w:hAnsi="FrankRuehl" w:cs="FrankRuehl"/>
          <w:sz w:val="24"/>
          <w:szCs w:val="24"/>
          <w:rtl/>
        </w:rPr>
        <w:t xml:space="preserve">בפסק הדין נקבע עוד, כי לאחר שהמערערים הגישו חוות דעת של מומחים מתחום בריאות הנפש, עובר הנטל לרשות, ככל שהיא סבורה כי אין לקבל את אותן חוות דעת, להמציא חוות דעת לסתור, משלא עשתה כן הרשות, יש לקבל את הממצאים שנקבעו באותן חוות דעת לעניין טובת הילדים. </w:t>
      </w:r>
    </w:p>
    <w:p w:rsidR="006E7BCD" w:rsidRPr="006E7BCD" w:rsidRDefault="006E7BCD" w:rsidP="006E7BCD">
      <w:pPr>
        <w:spacing w:line="360" w:lineRule="auto"/>
        <w:jc w:val="both"/>
        <w:rPr>
          <w:rFonts w:ascii="FrankRuehl" w:hAnsi="FrankRuehl" w:cs="FrankRuehl"/>
          <w:sz w:val="24"/>
          <w:szCs w:val="24"/>
          <w:rtl/>
        </w:rPr>
      </w:pPr>
      <w:r w:rsidRPr="006E7BCD">
        <w:rPr>
          <w:rFonts w:ascii="FrankRuehl" w:hAnsi="FrankRuehl" w:cs="FrankRuehl"/>
          <w:sz w:val="24"/>
          <w:szCs w:val="24"/>
          <w:rtl/>
        </w:rPr>
        <w:lastRenderedPageBreak/>
        <w:t>עוד קובע</w:t>
      </w:r>
      <w:r>
        <w:rPr>
          <w:rFonts w:ascii="FrankRuehl" w:hAnsi="FrankRuehl" w:cs="FrankRuehl" w:hint="cs"/>
          <w:sz w:val="24"/>
          <w:szCs w:val="24"/>
          <w:rtl/>
        </w:rPr>
        <w:t xml:space="preserve"> בית המשפט</w:t>
      </w:r>
      <w:r w:rsidRPr="006E7BCD">
        <w:rPr>
          <w:rFonts w:ascii="FrankRuehl" w:hAnsi="FrankRuehl" w:cs="FrankRuehl"/>
          <w:sz w:val="24"/>
          <w:szCs w:val="24"/>
          <w:rtl/>
        </w:rPr>
        <w:t xml:space="preserve"> כי על הרשות לבחון ולקבוע את טובת הילדים הבאים לפניה בהליכים השונים בנוהל סדור, בהתאם להוראות האמנה בדבר זכויות הילד.</w:t>
      </w:r>
    </w:p>
    <w:p w:rsidR="006E7BCD" w:rsidRPr="006E7BCD" w:rsidRDefault="006E7BCD" w:rsidP="006E7BCD">
      <w:pPr>
        <w:spacing w:line="360" w:lineRule="auto"/>
        <w:jc w:val="both"/>
        <w:rPr>
          <w:rFonts w:ascii="FrankRuehl" w:hAnsi="FrankRuehl" w:cs="FrankRuehl"/>
          <w:sz w:val="24"/>
          <w:szCs w:val="24"/>
          <w:rtl/>
        </w:rPr>
      </w:pPr>
      <w:r>
        <w:rPr>
          <w:rFonts w:ascii="FrankRuehl" w:hAnsi="FrankRuehl" w:cs="FrankRuehl" w:hint="cs"/>
          <w:sz w:val="24"/>
          <w:szCs w:val="24"/>
          <w:rtl/>
        </w:rPr>
        <w:t>בית המשפט</w:t>
      </w:r>
      <w:r w:rsidRPr="006E7BCD">
        <w:rPr>
          <w:rFonts w:ascii="FrankRuehl" w:hAnsi="FrankRuehl" w:cs="FrankRuehl"/>
          <w:sz w:val="24"/>
          <w:szCs w:val="24"/>
          <w:rtl/>
        </w:rPr>
        <w:t xml:space="preserve"> הורה לרשות ליתן למערערים אשרת א/5 (תושב ארעי) בתוך שבוע מהיום, שתעמוד בתוקף עד הגיע הילדה לגיל 18 וכן חייבה את הרשות בהוצאות. </w:t>
      </w:r>
    </w:p>
    <w:p w:rsidR="00E13F6E" w:rsidRPr="006E7BCD" w:rsidRDefault="00E13F6E" w:rsidP="00915BFC">
      <w:pPr>
        <w:spacing w:line="360" w:lineRule="auto"/>
        <w:jc w:val="both"/>
        <w:rPr>
          <w:rFonts w:ascii="FrankRuehl" w:hAnsi="FrankRuehl" w:cs="FrankRuehl"/>
          <w:color w:val="323E4F" w:themeColor="text2" w:themeShade="BF"/>
          <w:sz w:val="26"/>
          <w:szCs w:val="26"/>
          <w:rtl/>
        </w:rPr>
      </w:pPr>
    </w:p>
    <w:p w:rsidR="00E13F6E" w:rsidRPr="006E7BCD" w:rsidRDefault="00E13F6E" w:rsidP="00915BFC">
      <w:pPr>
        <w:spacing w:after="120" w:line="360" w:lineRule="auto"/>
        <w:jc w:val="center"/>
        <w:rPr>
          <w:rFonts w:ascii="FrankRuehl" w:hAnsi="FrankRuehl" w:cs="FrankRuehl"/>
          <w:b/>
          <w:bCs/>
          <w:color w:val="002060"/>
          <w:sz w:val="26"/>
          <w:szCs w:val="26"/>
        </w:rPr>
      </w:pPr>
      <w:r w:rsidRPr="006E7BCD">
        <w:rPr>
          <w:rFonts w:ascii="FrankRuehl" w:hAnsi="FrankRuehl" w:cs="FrankRuehl"/>
          <w:b/>
          <w:bCs/>
          <w:color w:val="002060"/>
          <w:sz w:val="26"/>
          <w:szCs w:val="26"/>
          <w:rtl/>
        </w:rPr>
        <w:t>*** הנוסח המחייב הוא של פסק הדין המלא ***</w:t>
      </w:r>
    </w:p>
    <w:sectPr w:rsidR="00E13F6E" w:rsidRPr="006E7BCD"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A11" w:rsidRDefault="006D4A11" w:rsidP="00730CA1">
      <w:pPr>
        <w:spacing w:after="0" w:line="240" w:lineRule="auto"/>
      </w:pPr>
      <w:r>
        <w:separator/>
      </w:r>
    </w:p>
  </w:endnote>
  <w:endnote w:type="continuationSeparator" w:id="0">
    <w:p w:rsidR="006D4A11" w:rsidRDefault="006D4A11"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בית משפט העליון | דרך השופט מאיר שמגר 1 | קרית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A11" w:rsidRDefault="006D4A11" w:rsidP="00730CA1">
      <w:pPr>
        <w:spacing w:after="0" w:line="240" w:lineRule="auto"/>
      </w:pPr>
      <w:r>
        <w:separator/>
      </w:r>
    </w:p>
  </w:footnote>
  <w:footnote w:type="continuationSeparator" w:id="0">
    <w:p w:rsidR="006D4A11" w:rsidRDefault="006D4A11"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26C26"/>
    <w:rsid w:val="003921C3"/>
    <w:rsid w:val="003A639C"/>
    <w:rsid w:val="003C61AF"/>
    <w:rsid w:val="003E6E39"/>
    <w:rsid w:val="003E7EB7"/>
    <w:rsid w:val="00426AA7"/>
    <w:rsid w:val="004B4AE7"/>
    <w:rsid w:val="00515986"/>
    <w:rsid w:val="005253B2"/>
    <w:rsid w:val="00541C9E"/>
    <w:rsid w:val="00631744"/>
    <w:rsid w:val="00690B6F"/>
    <w:rsid w:val="006B7B96"/>
    <w:rsid w:val="006C3B1F"/>
    <w:rsid w:val="006D4A11"/>
    <w:rsid w:val="006E7BCD"/>
    <w:rsid w:val="006F1E1F"/>
    <w:rsid w:val="007007D7"/>
    <w:rsid w:val="00701767"/>
    <w:rsid w:val="00711675"/>
    <w:rsid w:val="00730CA1"/>
    <w:rsid w:val="00760D53"/>
    <w:rsid w:val="007B7899"/>
    <w:rsid w:val="008133DE"/>
    <w:rsid w:val="00832AD7"/>
    <w:rsid w:val="008C02E0"/>
    <w:rsid w:val="00915BFC"/>
    <w:rsid w:val="00983123"/>
    <w:rsid w:val="009D30C9"/>
    <w:rsid w:val="009E5C0E"/>
    <w:rsid w:val="00A15661"/>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13F6E"/>
    <w:rsid w:val="00E35DF3"/>
    <w:rsid w:val="00EA6DF3"/>
    <w:rsid w:val="00EB6609"/>
    <w:rsid w:val="00F46250"/>
    <w:rsid w:val="00FD6218"/>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652681705">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1969579472">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90D32040-BD93-4DA9-890E-B433AC61C9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Words>
  <Characters>1767</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2025-02-26T13:17:00Z</dcterms:created>
  <dcterms:modified xsi:type="dcterms:W3CDTF">2025-02-26T13:17:00Z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25 בפברואר 2025</vt:lpwstr>
  </property>
  <property fmtid="{D5CDD505-2E9C-101B-9397-08002B2CF9AE}" pid="3" name="DocDateHeb">
    <vt:lpwstr>כ"ז בשבט תשפ"ה</vt:lpwstr>
  </property>
  <property fmtid="{D5CDD505-2E9C-101B-9397-08002B2CF9AE}" pid="4" name="DocNumber">
    <vt:lpwstr>4700-1039-2025-001974</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פסק הדין עמ"נ 41621-09-19</vt:lpwstr>
  </property>
</Properties>
</file>